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ink="http://schemas.microsoft.com/office/drawing/2016/ink" xmlns:dgm="http://schemas.openxmlformats.org/drawingml/2006/diagram">
  <w:body>
    <w:p w14:paraId="00000001">
      <w:pPr>
        <w:pStyle w:val="Heading1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Утверждаю:</w:t>
      </w:r>
    </w:p>
    <w:p w14:paraId="00000002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</w:t>
      </w: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Директор </w:t>
      </w:r>
      <w:r>
        <w:rPr>
          <w:sz w:val="28"/>
          <w:szCs w:val="28"/>
        </w:rPr>
        <w:t xml:space="preserve"> Климовского</w:t>
      </w:r>
      <w:r>
        <w:rPr>
          <w:sz w:val="28"/>
          <w:szCs w:val="28"/>
        </w:rPr>
        <w:t xml:space="preserve"> филиала </w:t>
      </w:r>
    </w:p>
    <w:p w14:paraId="0000000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ГБПОУ «БАТ им. Героя России  </w:t>
      </w:r>
    </w:p>
    <w:p w14:paraId="0000000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А.С. Зайцева»</w:t>
      </w:r>
    </w:p>
    <w:p w14:paraId="0000000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__________/Н.Г. Ковалева/ </w:t>
      </w:r>
    </w:p>
    <w:p w14:paraId="00000006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</w:t>
      </w:r>
      <w:r>
        <w:rPr>
          <w:b/>
          <w:sz w:val="28"/>
          <w:szCs w:val="28"/>
        </w:rPr>
        <w:t xml:space="preserve">План </w:t>
      </w:r>
    </w:p>
    <w:p w14:paraId="00000007">
      <w:pPr>
        <w:jc w:val="center"/>
        <w:rPr>
          <w:sz w:val="28"/>
          <w:szCs w:val="28"/>
        </w:rPr>
      </w:pPr>
      <w:r>
        <w:rPr>
          <w:sz w:val="28"/>
          <w:szCs w:val="28"/>
        </w:rPr>
        <w:t>м</w:t>
      </w:r>
      <w:r>
        <w:rPr>
          <w:sz w:val="28"/>
          <w:szCs w:val="28"/>
        </w:rPr>
        <w:t>ероприя</w:t>
      </w:r>
      <w:r>
        <w:rPr>
          <w:sz w:val="28"/>
          <w:szCs w:val="28"/>
        </w:rPr>
        <w:t xml:space="preserve">тий </w:t>
      </w:r>
      <w:r>
        <w:rPr>
          <w:sz w:val="28"/>
          <w:szCs w:val="28"/>
        </w:rPr>
        <w:t>Климовскогого</w:t>
      </w:r>
      <w:r>
        <w:rPr>
          <w:sz w:val="28"/>
          <w:szCs w:val="28"/>
        </w:rPr>
        <w:t xml:space="preserve"> филиала ГБПОУ «БАТ имени Героя Рос</w:t>
      </w:r>
      <w:r>
        <w:rPr>
          <w:sz w:val="28"/>
          <w:szCs w:val="28"/>
        </w:rPr>
        <w:t xml:space="preserve">сии А.С. </w:t>
      </w:r>
      <w:r>
        <w:rPr>
          <w:sz w:val="28"/>
          <w:szCs w:val="28"/>
        </w:rPr>
        <w:t>Зайцева,  посвященных</w:t>
      </w:r>
      <w:r>
        <w:rPr>
          <w:sz w:val="28"/>
          <w:szCs w:val="28"/>
        </w:rPr>
        <w:t xml:space="preserve"> 81</w:t>
      </w:r>
      <w:r>
        <w:rPr>
          <w:sz w:val="28"/>
          <w:szCs w:val="28"/>
        </w:rPr>
        <w:t xml:space="preserve">-й годовщине освобождения </w:t>
      </w:r>
      <w:r>
        <w:rPr>
          <w:sz w:val="28"/>
          <w:szCs w:val="28"/>
        </w:rPr>
        <w:t>Брянщины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 немецко-фашистских захватчиков.</w:t>
      </w:r>
    </w:p>
    <w:p w14:paraId="00000008">
      <w:pPr>
        <w:jc w:val="center"/>
        <w:rPr>
          <w:sz w:val="18"/>
          <w:szCs w:val="18"/>
        </w:rPr>
      </w:pPr>
    </w:p>
    <w:tbl>
      <w:tblPr>
        <w:tblStyle w:val="TableGrid"/>
        <w:tblW w:w="0" w:type="auto"/>
        <w:tblLayout w:type="fixed"/>
        <w:tblLook w:val="01E0"/>
      </w:tblPr>
      <w:tblGrid>
        <w:gridCol w:w="594"/>
        <w:gridCol w:w="4901"/>
        <w:gridCol w:w="1813"/>
        <w:gridCol w:w="2520"/>
      </w:tblGrid>
      <w:tr>
        <w:trPr/>
        <w:tc>
          <w:tcPr>
            <w:cnfStyle w:val="101000000000"/>
            <w:tcW w:w="594" w:type="dxa"/>
          </w:tcPr>
          <w:p w14:paraId="0000000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  <w:p w14:paraId="000000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п/п</w:t>
            </w:r>
          </w:p>
        </w:tc>
        <w:tc>
          <w:tcPr>
            <w:cnfStyle w:val="100010000000"/>
            <w:tcW w:w="4901" w:type="dxa"/>
          </w:tcPr>
          <w:p w14:paraId="0000000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Мероприятия</w:t>
            </w:r>
          </w:p>
        </w:tc>
        <w:tc>
          <w:tcPr>
            <w:cnfStyle w:val="100001000000"/>
            <w:tcW w:w="1813" w:type="dxa"/>
          </w:tcPr>
          <w:p w14:paraId="0000000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</w:t>
            </w:r>
          </w:p>
          <w:p w14:paraId="0000000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проведения</w:t>
            </w:r>
          </w:p>
        </w:tc>
        <w:tc>
          <w:tcPr>
            <w:cnfStyle w:val="100100000000"/>
            <w:tcW w:w="2520" w:type="dxa"/>
          </w:tcPr>
          <w:p w14:paraId="0000000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Ответственные</w:t>
            </w:r>
          </w:p>
        </w:tc>
      </w:tr>
      <w:tr>
        <w:trPr/>
        <w:tc>
          <w:tcPr>
            <w:cnfStyle w:val="001000100000"/>
            <w:tcW w:w="594" w:type="dxa"/>
          </w:tcPr>
          <w:p w14:paraId="000000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cnfStyle w:val="000010100000"/>
            <w:tcW w:w="4901" w:type="dxa"/>
          </w:tcPr>
          <w:p w14:paraId="000000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Уроки мужеств</w:t>
            </w:r>
            <w:r>
              <w:rPr>
                <w:sz w:val="28"/>
                <w:szCs w:val="28"/>
              </w:rPr>
              <w:t>а, классные часы, посвящённые 81</w:t>
            </w:r>
            <w:bookmarkStart w:id="0" w:name="_GoBack"/>
            <w:bookmarkEnd w:id="0"/>
            <w:r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й годовщине освобождения от немецко- фашистских захватчиков  </w:t>
            </w:r>
          </w:p>
        </w:tc>
        <w:tc>
          <w:tcPr>
            <w:cnfStyle w:val="000001100000"/>
            <w:tcW w:w="1813" w:type="dxa"/>
          </w:tcPr>
          <w:p w14:paraId="0000001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cnfStyle w:val="000100100000"/>
            <w:tcW w:w="2520" w:type="dxa"/>
          </w:tcPr>
          <w:p w14:paraId="0000001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Ермаченко А.И.</w:t>
            </w:r>
          </w:p>
          <w:p w14:paraId="0000001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r>
              <w:rPr>
                <w:sz w:val="28"/>
                <w:szCs w:val="28"/>
              </w:rPr>
              <w:t>. руководители,</w:t>
            </w:r>
          </w:p>
          <w:p w14:paraId="0000001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мастера п/о</w:t>
            </w:r>
          </w:p>
        </w:tc>
      </w:tr>
      <w:tr>
        <w:trPr/>
        <w:tc>
          <w:tcPr>
            <w:cnfStyle w:val="001000010000"/>
            <w:tcW w:w="594" w:type="dxa"/>
          </w:tcPr>
          <w:p w14:paraId="0000001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cnfStyle w:val="000010010000"/>
            <w:tcW w:w="4901" w:type="dxa"/>
          </w:tcPr>
          <w:p w14:paraId="000000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Выставка художественной, публицистической  литературы  «Брянская улица к Победе нас ведет</w:t>
            </w:r>
            <w:r>
              <w:rPr>
                <w:sz w:val="28"/>
                <w:szCs w:val="28"/>
              </w:rPr>
              <w:t>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cnfStyle w:val="000001010000"/>
            <w:tcW w:w="1813" w:type="dxa"/>
          </w:tcPr>
          <w:p w14:paraId="0000001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0000001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2024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cnfStyle w:val="000100010000"/>
            <w:tcW w:w="2520" w:type="dxa"/>
          </w:tcPr>
          <w:p w14:paraId="000000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Жога</w:t>
            </w:r>
            <w:r>
              <w:rPr>
                <w:sz w:val="28"/>
                <w:szCs w:val="28"/>
              </w:rPr>
              <w:t xml:space="preserve"> С.Н.</w:t>
            </w:r>
          </w:p>
          <w:p w14:paraId="000000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зав.библиотекой</w:t>
            </w:r>
          </w:p>
        </w:tc>
      </w:tr>
      <w:tr>
        <w:trPr/>
        <w:tc>
          <w:tcPr>
            <w:cnfStyle w:val="001000100000"/>
            <w:tcW w:w="594" w:type="dxa"/>
          </w:tcPr>
          <w:p w14:paraId="0000001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cnfStyle w:val="000010100000"/>
            <w:tcW w:w="4901" w:type="dxa"/>
          </w:tcPr>
          <w:p w14:paraId="000000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</w:t>
            </w:r>
            <w:r>
              <w:rPr>
                <w:sz w:val="28"/>
                <w:szCs w:val="28"/>
              </w:rPr>
              <w:t xml:space="preserve"> мероприятиях</w:t>
            </w:r>
            <w:r>
              <w:rPr>
                <w:sz w:val="28"/>
                <w:szCs w:val="28"/>
              </w:rPr>
              <w:t>, посвященных</w:t>
            </w:r>
          </w:p>
          <w:p w14:paraId="0000001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  <w:r>
              <w:rPr>
                <w:sz w:val="28"/>
                <w:szCs w:val="28"/>
              </w:rPr>
              <w:t xml:space="preserve">-й годовщине освобождения </w:t>
            </w:r>
            <w:r>
              <w:rPr>
                <w:sz w:val="28"/>
                <w:szCs w:val="28"/>
              </w:rPr>
              <w:t>Брянщины</w:t>
            </w:r>
            <w:r>
              <w:rPr>
                <w:sz w:val="28"/>
                <w:szCs w:val="28"/>
              </w:rPr>
              <w:t xml:space="preserve"> от немецко-фашистских захватчиков.</w:t>
            </w:r>
          </w:p>
        </w:tc>
        <w:tc>
          <w:tcPr>
            <w:cnfStyle w:val="000001100000"/>
            <w:tcW w:w="1813" w:type="dxa"/>
          </w:tcPr>
          <w:p w14:paraId="0000001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17.09</w:t>
            </w:r>
            <w:r>
              <w:rPr>
                <w:sz w:val="28"/>
                <w:szCs w:val="28"/>
              </w:rPr>
              <w:t>.2024</w:t>
            </w:r>
            <w:r>
              <w:rPr>
                <w:sz w:val="28"/>
                <w:szCs w:val="28"/>
              </w:rPr>
              <w:t>г.</w:t>
            </w:r>
          </w:p>
          <w:p w14:paraId="0000001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21.09.2024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cnfStyle w:val="000100100000"/>
            <w:tcW w:w="2520" w:type="dxa"/>
          </w:tcPr>
          <w:p w14:paraId="000000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Ермачен</w:t>
            </w:r>
            <w:r>
              <w:rPr>
                <w:sz w:val="28"/>
                <w:szCs w:val="28"/>
              </w:rPr>
              <w:t>ко А.И</w:t>
            </w:r>
            <w:r>
              <w:rPr>
                <w:sz w:val="28"/>
                <w:szCs w:val="28"/>
              </w:rPr>
              <w:t>.,</w:t>
            </w:r>
          </w:p>
          <w:p w14:paraId="0000002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r>
              <w:rPr>
                <w:sz w:val="28"/>
                <w:szCs w:val="28"/>
              </w:rPr>
              <w:t>. руководители,</w:t>
            </w:r>
          </w:p>
          <w:p w14:paraId="0000002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мастера п/о</w:t>
            </w:r>
          </w:p>
        </w:tc>
      </w:tr>
      <w:tr>
        <w:trPr/>
        <w:tc>
          <w:tcPr>
            <w:cnfStyle w:val="001000010000"/>
            <w:tcW w:w="594" w:type="dxa"/>
          </w:tcPr>
          <w:p w14:paraId="0000002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cnfStyle w:val="000010010000"/>
            <w:tcW w:w="4901" w:type="dxa"/>
          </w:tcPr>
          <w:p w14:paraId="0000002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Акция «Тропинка к обелиску»      </w:t>
            </w:r>
          </w:p>
        </w:tc>
        <w:tc>
          <w:tcPr>
            <w:cnfStyle w:val="000001010000"/>
            <w:tcW w:w="1813" w:type="dxa"/>
          </w:tcPr>
          <w:p w14:paraId="0000002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 2024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cnfStyle w:val="000100010000"/>
            <w:tcW w:w="2520" w:type="dxa"/>
          </w:tcPr>
          <w:p w14:paraId="0000002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Ермаченко А.И.</w:t>
            </w:r>
          </w:p>
          <w:p w14:paraId="0000002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волонтёры</w:t>
            </w:r>
          </w:p>
        </w:tc>
      </w:tr>
      <w:tr>
        <w:trPr/>
        <w:tc>
          <w:tcPr>
            <w:cnfStyle w:val="001000100000"/>
            <w:tcW w:w="594" w:type="dxa"/>
          </w:tcPr>
          <w:p w14:paraId="0000002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cnfStyle w:val="000010100000"/>
            <w:tcW w:w="4901" w:type="dxa"/>
          </w:tcPr>
          <w:p w14:paraId="000000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Мероприятия в </w:t>
            </w:r>
            <w:r>
              <w:rPr>
                <w:sz w:val="28"/>
                <w:szCs w:val="28"/>
              </w:rPr>
              <w:t>музее  п.</w:t>
            </w:r>
            <w:r>
              <w:rPr>
                <w:sz w:val="28"/>
                <w:szCs w:val="28"/>
              </w:rPr>
              <w:t xml:space="preserve"> Климово по Пушкинской карте:</w:t>
            </w:r>
          </w:p>
          <w:p w14:paraId="0000002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«Русская изба от печки до лавочки».</w:t>
            </w:r>
          </w:p>
          <w:p w14:paraId="000000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«На солдатском привале».</w:t>
            </w:r>
          </w:p>
          <w:p w14:paraId="000000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 «В гостях у древнего человека»</w:t>
            </w:r>
          </w:p>
        </w:tc>
        <w:tc>
          <w:tcPr>
            <w:cnfStyle w:val="000001100000"/>
            <w:tcW w:w="1813" w:type="dxa"/>
          </w:tcPr>
          <w:p w14:paraId="0000002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0000002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2024</w:t>
            </w:r>
            <w:r>
              <w:rPr>
                <w:sz w:val="28"/>
                <w:szCs w:val="28"/>
              </w:rPr>
              <w:t>г.</w:t>
            </w:r>
          </w:p>
          <w:p w14:paraId="0000002F">
            <w:r>
              <w:t xml:space="preserve"> </w:t>
            </w:r>
          </w:p>
        </w:tc>
        <w:tc>
          <w:tcPr>
            <w:cnfStyle w:val="000100100000"/>
            <w:tcW w:w="2520" w:type="dxa"/>
          </w:tcPr>
          <w:p w14:paraId="0000003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Ермаченко А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И.</w:t>
            </w:r>
            <w:r>
              <w:rPr>
                <w:sz w:val="28"/>
                <w:szCs w:val="28"/>
              </w:rPr>
              <w:t>,</w:t>
            </w:r>
          </w:p>
          <w:p w14:paraId="000000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r>
              <w:rPr>
                <w:sz w:val="28"/>
                <w:szCs w:val="28"/>
              </w:rPr>
              <w:t>. руководители,</w:t>
            </w:r>
          </w:p>
          <w:p w14:paraId="0000003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мастера п/о</w:t>
            </w:r>
          </w:p>
        </w:tc>
      </w:tr>
      <w:tr>
        <w:trPr/>
        <w:tc>
          <w:tcPr>
            <w:cnfStyle w:val="001000010000"/>
            <w:tcW w:w="594" w:type="dxa"/>
          </w:tcPr>
          <w:p w14:paraId="000000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cnfStyle w:val="000010010000"/>
            <w:tcW w:w="4901" w:type="dxa"/>
          </w:tcPr>
          <w:p w14:paraId="0000003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Выпуск пр</w:t>
            </w:r>
            <w:r>
              <w:rPr>
                <w:sz w:val="28"/>
                <w:szCs w:val="28"/>
              </w:rPr>
              <w:t>аздничной газеты, посвященной 81</w:t>
            </w:r>
            <w:r>
              <w:rPr>
                <w:sz w:val="28"/>
                <w:szCs w:val="28"/>
              </w:rPr>
              <w:t xml:space="preserve">-й годовщине освобождения </w:t>
            </w:r>
            <w:r>
              <w:rPr>
                <w:sz w:val="28"/>
                <w:szCs w:val="28"/>
              </w:rPr>
              <w:t>Брянщины</w:t>
            </w:r>
            <w:r>
              <w:rPr>
                <w:sz w:val="28"/>
                <w:szCs w:val="28"/>
              </w:rPr>
              <w:t xml:space="preserve"> от немецко-фашистских захватчиков</w:t>
            </w:r>
          </w:p>
        </w:tc>
        <w:tc>
          <w:tcPr>
            <w:cnfStyle w:val="000001010000"/>
            <w:tcW w:w="1813" w:type="dxa"/>
          </w:tcPr>
          <w:p w14:paraId="0000003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16.09.2024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cnfStyle w:val="000100010000"/>
            <w:tcW w:w="2520" w:type="dxa"/>
          </w:tcPr>
          <w:p w14:paraId="000000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Жога</w:t>
            </w:r>
            <w:r>
              <w:rPr>
                <w:sz w:val="28"/>
                <w:szCs w:val="28"/>
              </w:rPr>
              <w:t xml:space="preserve"> С.Н.</w:t>
            </w:r>
          </w:p>
          <w:p w14:paraId="0000003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зав.библиотекой</w:t>
            </w:r>
          </w:p>
        </w:tc>
      </w:tr>
      <w:tr>
        <w:trPr/>
        <w:tc>
          <w:tcPr>
            <w:cnfStyle w:val="001000100000"/>
            <w:tcW w:w="594" w:type="dxa"/>
          </w:tcPr>
          <w:p w14:paraId="000000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cnfStyle w:val="000010100000"/>
            <w:tcW w:w="4901" w:type="dxa"/>
          </w:tcPr>
          <w:p w14:paraId="000000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Классный час: «Партизанское движение на </w:t>
            </w:r>
            <w:r>
              <w:rPr>
                <w:sz w:val="28"/>
                <w:szCs w:val="28"/>
              </w:rPr>
              <w:t>Брянщине</w:t>
            </w:r>
            <w:r>
              <w:rPr>
                <w:sz w:val="28"/>
                <w:szCs w:val="28"/>
              </w:rPr>
              <w:t>».</w:t>
            </w:r>
          </w:p>
          <w:p w14:paraId="0000003A">
            <w:pPr>
              <w:rPr>
                <w:sz w:val="16"/>
                <w:szCs w:val="16"/>
              </w:rPr>
            </w:pPr>
          </w:p>
        </w:tc>
        <w:tc>
          <w:tcPr>
            <w:cnfStyle w:val="000001100000"/>
            <w:tcW w:w="1813" w:type="dxa"/>
          </w:tcPr>
          <w:p w14:paraId="000000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23.09.2024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cnfStyle w:val="000100100000"/>
            <w:tcW w:w="2520" w:type="dxa"/>
          </w:tcPr>
          <w:p w14:paraId="000000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Совет библиотеки,</w:t>
            </w:r>
          </w:p>
          <w:p w14:paraId="0000003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Жога</w:t>
            </w:r>
            <w:r>
              <w:rPr>
                <w:sz w:val="28"/>
                <w:szCs w:val="28"/>
              </w:rPr>
              <w:t xml:space="preserve"> С.Н.</w:t>
            </w:r>
          </w:p>
          <w:p w14:paraId="0000003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зав.библиотекой</w:t>
            </w:r>
          </w:p>
        </w:tc>
      </w:tr>
      <w:tr>
        <w:trPr/>
        <w:tc>
          <w:tcPr>
            <w:cnfStyle w:val="001000010000"/>
            <w:tcW w:w="594" w:type="dxa"/>
          </w:tcPr>
          <w:p w14:paraId="000000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cnfStyle w:val="000010010000"/>
            <w:tcW w:w="4901" w:type="dxa"/>
          </w:tcPr>
          <w:p w14:paraId="000000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и проведение</w:t>
            </w:r>
          </w:p>
          <w:p w14:paraId="000000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«Дня здоровья» 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cnfStyle w:val="000001010000"/>
            <w:tcW w:w="1813" w:type="dxa"/>
          </w:tcPr>
          <w:p w14:paraId="000000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28.09.2024</w:t>
            </w:r>
            <w:r>
              <w:rPr>
                <w:sz w:val="28"/>
                <w:szCs w:val="28"/>
              </w:rPr>
              <w:t>г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cnfStyle w:val="000100010000"/>
            <w:tcW w:w="2520" w:type="dxa"/>
          </w:tcPr>
          <w:p w14:paraId="0000004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Ермаченко А.И.,</w:t>
            </w:r>
          </w:p>
          <w:p w14:paraId="0000004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Адаменко Ю.В.</w:t>
            </w:r>
            <w:r>
              <w:rPr>
                <w:sz w:val="28"/>
                <w:szCs w:val="28"/>
              </w:rPr>
              <w:t>,</w:t>
            </w:r>
          </w:p>
          <w:p w14:paraId="0000004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r>
              <w:rPr>
                <w:sz w:val="28"/>
                <w:szCs w:val="28"/>
              </w:rPr>
              <w:t>. руководители,</w:t>
            </w:r>
          </w:p>
          <w:p w14:paraId="0000004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мастера п/о</w:t>
            </w:r>
          </w:p>
        </w:tc>
      </w:tr>
      <w:tr>
        <w:trPr/>
        <w:tc>
          <w:tcPr>
            <w:cnfStyle w:val="011000000000"/>
            <w:tcW w:w="594" w:type="dxa"/>
          </w:tcPr>
          <w:p w14:paraId="0000004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cnfStyle w:val="010010000000"/>
            <w:tcW w:w="4901" w:type="dxa"/>
          </w:tcPr>
          <w:p w14:paraId="0000004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Акция добра и милосердия: «Практика добрых дел».</w:t>
            </w:r>
          </w:p>
        </w:tc>
        <w:tc>
          <w:tcPr>
            <w:cnfStyle w:val="010001000000"/>
            <w:tcW w:w="1813" w:type="dxa"/>
          </w:tcPr>
          <w:p w14:paraId="0000004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0000004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2024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cnfStyle w:val="010100000000"/>
            <w:tcW w:w="2520" w:type="dxa"/>
          </w:tcPr>
          <w:p w14:paraId="000000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Ермаченко А.И.</w:t>
            </w:r>
          </w:p>
          <w:p w14:paraId="0000004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волонтёры</w:t>
            </w:r>
          </w:p>
        </w:tc>
      </w:tr>
    </w:tbl>
    <w:p w14:paraId="0000004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Примечание: </w:t>
      </w:r>
      <w:r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случае </w:t>
      </w:r>
      <w:r>
        <w:rPr>
          <w:sz w:val="28"/>
          <w:szCs w:val="28"/>
        </w:rPr>
        <w:t xml:space="preserve"> ЧС</w:t>
      </w:r>
      <w:r>
        <w:rPr>
          <w:sz w:val="28"/>
          <w:szCs w:val="28"/>
        </w:rPr>
        <w:t xml:space="preserve"> мероприятия согласно плана будут проводиться дистанционно.</w:t>
      </w:r>
    </w:p>
    <w:p w14:paraId="0000004E">
      <w:pPr>
        <w:rPr>
          <w:sz w:val="28"/>
          <w:szCs w:val="28"/>
        </w:rPr>
      </w:pPr>
    </w:p>
    <w:p w14:paraId="0000004F">
      <w:pPr>
        <w:rPr>
          <w:sz w:val="28"/>
          <w:szCs w:val="28"/>
        </w:rPr>
      </w:pPr>
      <w:r>
        <w:rPr>
          <w:sz w:val="28"/>
          <w:szCs w:val="28"/>
        </w:rPr>
        <w:t xml:space="preserve">Зам. директора по ВР </w:t>
      </w:r>
      <w:r>
        <w:rPr>
          <w:sz w:val="28"/>
          <w:szCs w:val="28"/>
        </w:rPr>
        <w:t xml:space="preserve">                                  </w:t>
      </w:r>
      <w:r>
        <w:rPr>
          <w:sz w:val="28"/>
          <w:szCs w:val="28"/>
        </w:rPr>
        <w:t>/А.И. Ермаченко/</w:t>
      </w:r>
    </w:p>
    <w:p w14:paraId="00000050">
      <w:pPr>
        <w:jc w:val="center"/>
        <w:rPr>
          <w:sz w:val="28"/>
          <w:szCs w:val="28"/>
        </w:rPr>
      </w:pPr>
    </w:p>
    <w:p w14:paraId="00000051"/>
    <w:p w14:paraId="00000052"/>
    <w:p w14:paraId="00000053"/>
    <w:p w14:paraId="00000054"/>
    <w:sectPr>
      <w:pgSz w:w="11906" w:h="16838"/>
      <w:pgMar w:top="180" w:right="851" w:bottom="0" w:left="1361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00000000" w:usb1="00000000" w:usb2="00000009" w:usb3="00000000" w:csb0="000001ff" w:csb1="00000000"/>
  </w:font>
  <w:font w:name="Times New Roman">
    <w:panose1 w:val="02020603050405020304"/>
    <w:charset w:val="cc"/>
    <w:family w:val="roman"/>
    <w:pitch w:val="variable"/>
    <w:sig w:usb0="00000000" w:usb1="00000000" w:usb2="00000009" w:usb3="00000000" w:csb0="000001ff" w:csb1="00000000"/>
  </w:font>
  <w:font w:name="Segoe UI">
    <w:panose1 w:val="020b0502040204020203"/>
    <w:charset w:val="cc"/>
    <w:family w:val="swiss"/>
    <w:pitch w:val="variable"/>
    <w:sig w:usb0="00000000" w:usb1="00000000" w:usb2="00000009" w:usb3="00000000" w:csb0="000001ff" w:csb1="00000000"/>
  </w:font>
  <w:font w:name="Calibri Light">
    <w:panose1 w:val="020f0302020204030204"/>
    <w:charset w:val="cc"/>
    <w:family w:val="swiss"/>
    <w:pitch w:val="variable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32"/>
    <w:rsid w:val="00AB5232"/>
    <w:rsid w:val="00CD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D0B3E"/>
  <w15:chartTrackingRefBased/>
  <w15:docId w15:val="{BD8C25FB-6CA2-4836-B24B-43799C85FCCF}"/>
  <w:footnotePr/>
  <w:endnotePr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2"/>
        <w:szCs w:val="22"/>
        <w:lang w:val="ru-RU" w:bidi="ar-SA" w:eastAsia="en-US"/>
      </w:rPr>
    </w:rPrDefault>
    <w:pPrDefault>
      <w:pPr>
        <w:spacing w:after="160" w:line="259" w:lineRule="auto"/>
      </w:pPr>
    </w:pPrDefault>
  </w:docDefaults>
  <w:style w:type="paragraph" w:styleId="Heading2">
    <w:name w:val="Heading 2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paragraph" w:styleId="Heading3">
    <w:name w:val="Heading 3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5b9bd5" w:themeColor="accent1"/>
    </w:rPr>
  </w:style>
  <w:style w:type="paragraph" w:styleId="Heading4">
    <w:name w:val="Heading 4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5b9bd5" w:themeColor="accent1"/>
    </w:rPr>
  </w:style>
  <w:style w:type="paragraph" w:styleId="Heading5">
    <w:name w:val="Heading 5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4d77" w:themeColor="accent1" w:themeShade="7f"/>
    </w:rPr>
  </w:style>
  <w:style w:type="paragraph" w:styleId="Heading6">
    <w:name w:val="Heading 6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4d77" w:themeColor="accent1" w:themeShade="7f"/>
    </w:rPr>
  </w:style>
  <w:style w:type="paragraph" w:styleId="Heading7">
    <w:name w:val="Heading 7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cstheme="majorBidi" w:eastAsiaTheme="majorEastAsia" w:hAnsiTheme="majorHAnsi"/>
      <w:b/>
      <w:bCs/>
      <w:color w:val="2e74b4" w:themeColor="accent1" w:themeShade="bf"/>
      <w:sz w:val="28"/>
      <w:szCs w:val="28"/>
    </w:rPr>
  </w:style>
  <w:style w:type="character" w:customStyle="1" w:styleId="Heading2Char">
    <w:name w:val="Heading 2 Char"/>
    <w:link w:val="Heading2"/>
    <w:uiPriority w:val="9"/>
    <w:rPr>
      <w:rFonts w:asciiTheme="majorHAnsi" w:cstheme="majorBidi" w:eastAsiaTheme="majorEastAsia" w:hAnsiTheme="majorHAns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link w:val="Heading3"/>
    <w:uiPriority w:val="9"/>
    <w:rPr>
      <w:rFonts w:asciiTheme="majorHAnsi" w:cstheme="majorBidi" w:eastAsiaTheme="majorEastAsia" w:hAnsiTheme="majorHAnsi"/>
      <w:b/>
      <w:bCs/>
      <w:color w:val="5b9bd5" w:themeColor="accent1"/>
    </w:rPr>
  </w:style>
  <w:style w:type="character" w:customStyle="1" w:styleId="Heading4Char">
    <w:name w:val="Heading 4 Char"/>
    <w:link w:val="Heading4"/>
    <w:uiPriority w:val="9"/>
    <w:rPr>
      <w:rFonts w:asciiTheme="majorHAnsi" w:cstheme="majorBidi" w:eastAsiaTheme="majorEastAsia" w:hAnsiTheme="majorHAnsi"/>
      <w:b/>
      <w:bCs/>
      <w:i/>
      <w:iCs/>
      <w:color w:val="5b9bd5" w:themeColor="accent1"/>
    </w:rPr>
  </w:style>
  <w:style w:type="character" w:customStyle="1" w:styleId="Heading5Char">
    <w:name w:val="Heading 5 Char"/>
    <w:link w:val="Heading5"/>
    <w:uiPriority w:val="9"/>
    <w:rPr>
      <w:rFonts w:asciiTheme="majorHAnsi" w:cstheme="majorBidi" w:eastAsiaTheme="majorEastAsia" w:hAnsiTheme="majorHAnsi"/>
      <w:color w:val="1f4d77" w:themeColor="accent1" w:themeShade="7f"/>
    </w:rPr>
  </w:style>
  <w:style w:type="character" w:customStyle="1" w:styleId="Heading6Char">
    <w:name w:val="Heading 6 Char"/>
    <w:link w:val="Heading6"/>
    <w:uiPriority w:val="9"/>
    <w:rPr>
      <w:rFonts w:asciiTheme="majorHAnsi" w:cstheme="majorBidi" w:eastAsiaTheme="majorEastAsia" w:hAnsiTheme="majorHAnsi"/>
      <w:i/>
      <w:iCs/>
      <w:color w:val="1f4d77" w:themeColor="accent1" w:themeShade="7f"/>
    </w:rPr>
  </w:style>
  <w:style w:type="character" w:customStyle="1" w:styleId="Heading7Char">
    <w:name w:val="Heading 7 Char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link w:val="TitleChar"/>
    <w:uiPriority w:val="10"/>
    <w:qFormat w:val="on"/>
    <w:pPr>
      <w:pBdr>
        <w:bottom w:val="single" w:color="5b9bd5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link w:val="Subtitle"/>
    <w:uiPriority w:val="11"/>
    <w:rPr>
      <w:rFonts w:asciiTheme="majorHAnsi" w:cstheme="majorBidi" w:eastAsiaTheme="majorEastAsia" w:hAnsiTheme="majorHAnsi"/>
      <w:i/>
      <w:iCs/>
      <w:color w:val="5b9bd5" w:themeColor="accent1"/>
      <w:spacing w:val="15"/>
      <w:sz w:val="24"/>
      <w:szCs w:val="24"/>
    </w:rPr>
  </w:style>
  <w:style w:type="character" w:styleId="SubtleEmphasis">
    <w:name w:val="Subtle Emphasis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uiPriority w:val="20"/>
    <w:qFormat w:val="on"/>
    <w:rPr>
      <w:i/>
      <w:iCs/>
    </w:rPr>
  </w:style>
  <w:style w:type="character" w:styleId="IntenseEmphasis">
    <w:name w:val="Intense Emphasis"/>
    <w:uiPriority w:val="21"/>
    <w:qFormat w:val="on"/>
    <w:rPr>
      <w:b/>
      <w:bCs/>
      <w:i/>
      <w:iCs/>
      <w:color w:val="5b9bd5" w:themeColor="accent1"/>
    </w:rPr>
  </w:style>
  <w:style w:type="character" w:styleId="Strong">
    <w:name w:val="Strong"/>
    <w:uiPriority w:val="22"/>
    <w:qFormat w:val="on"/>
    <w:rPr>
      <w:b/>
      <w:bCs/>
    </w:rPr>
  </w:style>
  <w:style w:type="paragraph" w:styleId="Quote">
    <w:name w:val="Quote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link w:val="IntenseQuoteChar"/>
    <w:uiPriority w:val="30"/>
    <w:qFormat w:val="on"/>
    <w:pPr>
      <w:pBdr>
        <w:bottom w:val="single" w:color="5b9bd5" w:themeColor="accent1" w:sz="4" w:space="4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link w:val="IntenseQuote"/>
    <w:uiPriority w:val="30"/>
    <w:rPr>
      <w:b/>
      <w:bCs/>
      <w:i/>
      <w:iCs/>
      <w:color w:val="5b9bd5" w:themeColor="accent1"/>
    </w:rPr>
  </w:style>
  <w:style w:type="character" w:styleId="SubtleReference">
    <w:name w:val="Subtle Reference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uiPriority w:val="34"/>
    <w:qFormat w:val="on"/>
    <w:pPr>
      <w:ind w:left="720"/>
      <w:contextualSpacing w:val="on"/>
    </w:pPr>
  </w:style>
  <w:style w:type="paragraph" w:styleId="Footnotetext">
    <w:name w:val="Footnote text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uiPriority w:val="99"/>
    <w:semiHidden w:val="on"/>
    <w:unhideWhenUsed w:val="on"/>
    <w:rPr>
      <w:vertAlign w:val="superscript"/>
    </w:rPr>
  </w:style>
  <w:style w:type="paragraph" w:styleId="Endnotetext">
    <w:name w:val="Endnote text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uiPriority w:val="99"/>
    <w:semiHidden w:val="on"/>
    <w:unhideWhenUsed w:val="on"/>
    <w:rPr>
      <w:vertAlign w:val="superscript"/>
    </w:rPr>
  </w:style>
  <w:style w:type="character" w:styleId="Hyperlink">
    <w:name w:val="Hyperlink"/>
    <w:uiPriority w:val="99"/>
    <w:unhideWhenUsed w:val="on"/>
    <w:rPr>
      <w:color w:val="0563c1" w:themeColor="hyperlink"/>
      <w:u w:val="single"/>
    </w:rPr>
  </w:style>
  <w:style w:type="paragraph" w:styleId="PlainText">
    <w:name w:val="Plain Text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paragraph" w:styleId="Footer">
    <w:name w:val="Footer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link w:val="Footer"/>
    <w:uiPriority w:val="99"/>
  </w:style>
  <w:style w:type="paragraph" w:styleId="Caption">
    <w:name w:val="Caption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default="1" w:styleId="Normal">
    <w:name w:val="Normal"/>
    <w:uiPriority w:val="99"/>
    <w:qFormat w:val="on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paragraph" w:styleId="Heading1">
    <w:name w:val="Heading 1"/>
    <w:basedOn w:val="Normal"/>
    <w:next w:val="Normal"/>
    <w:link w:val="Заголовок1Знак"/>
    <w:uiPriority w:val="99"/>
    <w:qFormat w:val="on"/>
    <w:pPr>
      <w:keepNext w:val="on"/>
      <w:ind w:left="360"/>
      <w:jc w:val="center"/>
    </w:pPr>
    <w:rPr>
      <w:b/>
      <w:bCs/>
      <w:sz w:val="32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character" w:customStyle="1" w:styleId="Заголовок1Знак">
    <w:name w:val="Заголовок 1 Знак"/>
    <w:basedOn w:val="DefaultParagraphFont"/>
    <w:link w:val="Heading1"/>
    <w:uiPriority w:val="99"/>
    <w:rPr>
      <w:rFonts w:ascii="Times New Roman" w:cs="Times New Roman" w:eastAsia="Times New Roman" w:hAnsi="Times New Roman"/>
      <w:b/>
      <w:bCs/>
      <w:sz w:val="32"/>
      <w:szCs w:val="24"/>
      <w:lang w:eastAsia="ru-RU"/>
    </w:rPr>
  </w:style>
  <w:style w:type="table" w:styleId="TableGrid">
    <w:name w:val="Table Grid"/>
    <w:basedOn w:val="NormalTable"/>
    <w:uiPriority w:val="99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ТекствыноскиЗнак"/>
    <w:uiPriority w:val="99"/>
    <w:semiHidden w:val="on"/>
    <w:unhideWhenUsed w:val="on"/>
    <w:rPr>
      <w:rFonts w:ascii="Segoe UI" w:cs="Segoe UI" w:hAnsi="Segoe UI"/>
      <w:sz w:val="18"/>
      <w:szCs w:val="18"/>
    </w:rPr>
  </w:style>
  <w:style w:type="character" w:customStyle="1" w:styleId="ТекствыноскиЗнак">
    <w:name w:val="Текст выноски Знак"/>
    <w:basedOn w:val="DefaultParagraphFont"/>
    <w:link w:val="BalloonText"/>
    <w:uiPriority w:val="99"/>
    <w:semiHidden w:val="on"/>
    <w:rPr>
      <w:rFonts w:ascii="Segoe UI" w:cs="Segoe UI" w:eastAsia="Times New Roman" w:hAnsi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等线 Light"/>
        <a:font script="Hant" typeface="新細明體"/>
        <a:font script="Jpan" typeface="游ゴシック Light"/>
      </a:majorFont>
      <a:minorFont>
        <a:latin typeface="Calibri" panose="020F05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等线"/>
        <a:font script="Hant" typeface="新細明體"/>
        <a:font script="Jpan" typeface="游明朝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329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 Ермаченко</cp:lastModifiedBy>
</cp:coreProperties>
</file>